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3144</w:t>
        <w:t xml:space="preserve">.  </w:t>
      </w:r>
      <w:r>
        <w:rPr>
          <w:b/>
        </w:rPr>
        <w:t xml:space="preserve">Criminal failure to appear; cost of extradition</w:t>
      </w:r>
    </w:p>
    <w:p>
      <w:pPr>
        <w:jc w:val="both"/>
        <w:spacing w:before="100" w:after="100"/>
        <w:ind w:start="360"/>
        <w:ind w:firstLine="360"/>
      </w:pPr>
      <w:r>
        <w:rPr/>
      </w:r>
      <w:r>
        <w:rPr/>
      </w:r>
      <w:r>
        <w:t xml:space="preserve">It is the intent of the Legislature that, when appropriate, the respective district attorney shall utilize </w:t>
      </w:r>
      <w:r>
        <w:t>Title 17‑A, section 17, subsection 4</w:t>
      </w:r>
      <w:r>
        <w:t xml:space="preserve"> and prosecute defendants who fail to appear.  Any costs of extradition of a defendant who has been charged with the offense of failure to appear must be assessed against the defendant and reimbursed to the Extradition and Prosecution Expenses Account in the appropriate prosecutorial district, established pursuant to </w:t>
      </w:r>
      <w:r>
        <w:t>Title 15, section 224‑A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414, §2 (NEW). PL 2013, c. 566,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§3144. Criminal failure to appear; cost of extradition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§3144. Criminal failure to appear; cost of extradition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§3144. CRIMINAL FAILURE TO APPEAR; COST OF EXTRADITION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