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Petition for sale; order</w:t>
      </w:r>
    </w:p>
    <w:p>
      <w:pPr>
        <w:jc w:val="both"/>
        <w:spacing w:before="100" w:after="100"/>
        <w:ind w:start="360"/>
        <w:ind w:firstLine="360"/>
      </w:pPr>
      <w:r>
        <w:rPr/>
      </w:r>
      <w:r>
        <w:rPr/>
      </w:r>
      <w:r>
        <w:t xml:space="preserve">Either party may, on motion to the court setting forth the reasons therefor, petition the court to order the expeditious sale of the attached property. After such notice as the court may order and hearing on the motion, the court may, in its discretion, order the attached property to be sold and the proceeds held as security for the claim involved. As a part of its order, the court may impose such restrictions and conditions as it deems necessary for the conduct of such sale, the protection of lienors, the furnishing of bonds for the protection of the interests of any party, and to protect the interest of the attaching creditor and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§4353. Petition for sale;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Petition for sale;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§4353. PETITION FOR SALE;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