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4423</w:t>
        <w:t xml:space="preserve">.  </w:t>
      </w:r>
      <w:r>
        <w:rPr>
          <w:b/>
        </w:rPr>
        <w:t xml:space="preserve">Exempt property acquired within 90 days</w:t>
      </w:r>
    </w:p>
    <w:p>
      <w:pPr>
        <w:jc w:val="both"/>
        <w:spacing w:before="100" w:after="100"/>
        <w:ind w:start="360"/>
        <w:ind w:firstLine="360"/>
      </w:pPr>
      <w:r>
        <w:rPr/>
      </w:r>
      <w:r>
        <w:rPr/>
      </w:r>
      <w:r>
        <w:t xml:space="preserve">Notwithstanding </w:t>
      </w:r>
      <w:r>
        <w:t>section 4424</w:t>
      </w:r>
      <w:r>
        <w:t xml:space="preserve">, if within 90 days of the attachment, or, in a proceeding under the United States Code, Title 11, the date of the filing of the petition, the debtor transfers his nonexempt property and as a result acquires, improves or increases in value property otherwise exempt under </w:t>
      </w:r>
      <w:r>
        <w:t>section 4422</w:t>
      </w:r>
      <w:r>
        <w:t xml:space="preserve">, his interest shall not be exempt to the extent that the acquisition, improvement or increase in value exceeds the reasonable needs of the debtor or his dependents.</w:t>
      </w:r>
      <w:r>
        <w:t xml:space="preserve">  </w:t>
      </w:r>
      <w:r xmlns:wp="http://schemas.openxmlformats.org/drawingml/2010/wordprocessingDrawing" xmlns:w15="http://schemas.microsoft.com/office/word/2012/wordml">
        <w:rPr>
          <w:rFonts w:ascii="Arial" w:hAnsi="Arial" w:cs="Arial"/>
          <w:sz w:val="22"/>
          <w:szCs w:val="22"/>
        </w:rPr>
        <w:t xml:space="preserve">[PL 1983, c. 480,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1983, c. 480, §A9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§4423. Exempt property acquired within 90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§4423. Exempt property acquired within 90 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§4423. EXEMPT PROPERTY ACQUIRED WITHIN 90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