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Attachments dissolved by death of insolvent</w:t>
      </w:r>
    </w:p>
    <w:p>
      <w:pPr>
        <w:jc w:val="both"/>
        <w:spacing w:before="100" w:after="100"/>
        <w:ind w:start="360"/>
        <w:ind w:firstLine="360"/>
      </w:pPr>
      <w:r>
        <w:rPr/>
      </w:r>
      <w:r>
        <w:rPr/>
      </w:r>
      <w:r>
        <w:t xml:space="preserve">The attachment of personal property continues in force after the death of the debtor as if living, unless before a sale thereof on execution his estate is decreed insolvent; but it is dissolved by such decree, and the officer, on demand thereafter, shall restore such property to the executor or administrator on payment of his legal fees and charges of keeping.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Attachments dissolved by death of insolvent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§4502. ATTACHMENTS DISSOLVED BY DEATH OF INSOLVENT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