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§4855. Application of provisions to railroad franchises in State; notice in interested county;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Application of provisions to railroad franchises in State; notice in interested county;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§4855. APPLICATION OF PROVISIONS TO RAILROAD FRANCHISES IN STATE; NOTICE IN INTERESTED COUNTY;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