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Notice of seizure</w:t>
      </w:r>
    </w:p>
    <w:p>
      <w:pPr>
        <w:jc w:val="both"/>
        <w:spacing w:before="100" w:after="100"/>
        <w:ind w:start="360"/>
        <w:ind w:firstLine="360"/>
      </w:pPr>
      <w:r>
        <w:rPr/>
      </w:r>
      <w:r>
        <w:rPr/>
      </w:r>
      <w:r>
        <w:t xml:space="preserve">If the property was not attached on mesne process in the same action, the officer shall leave a copy of the execution with the treasurer, cashier, clerk or other recording officer of the company and the property shall be considered as seized on execution when the copy is so left. If it was so attached and remains attached, the officer shall proceed in seizing and selling it on execution as provided in </w:t>
      </w:r>
      <w:r>
        <w:t>section 4905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§4902. Notice of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Notice of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§4902. NOTICE OF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