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Setoff of executions</w:t>
      </w:r>
    </w:p>
    <w:p>
      <w:pPr>
        <w:jc w:val="both"/>
        <w:spacing w:before="100" w:after="100"/>
        <w:ind w:start="360"/>
        <w:ind w:firstLine="360"/>
      </w:pPr>
      <w:r>
        <w:rPr/>
      </w:r>
      <w:r>
        <w:rPr/>
      </w:r>
      <w:r>
        <w:t xml:space="preserve">When an officer has in his hands executions, wherein the creditor in one is debtor in the other in the same capacity and trust, he shall cause one execution to satisfy the other so far as it will extend. If one of such executions is in the hands of the officer, and the creditor in the other tenders his execution to him and requests him to do so, he shall so set off one against the other.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§5005. Setoff of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Setoff of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§5005. SETOFF OF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