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Ad damnum clause</w:t>
      </w:r>
    </w:p>
    <w:p>
      <w:pPr>
        <w:jc w:val="both"/>
        <w:spacing w:before="100" w:after="100"/>
        <w:ind w:start="360"/>
        <w:ind w:firstLine="360"/>
      </w:pPr>
      <w:r>
        <w:rPr/>
      </w:r>
      <w:r>
        <w:rPr/>
      </w:r>
      <w:r>
        <w:t xml:space="preserve">No dollar amount or figure may be included in the demand in any civil case, but the prayer must be for such damages as are reasonable in the premises.  This section does not apply to a demand for liquidated damages.</w:t>
      </w:r>
      <w:r>
        <w:t xml:space="preserve">  </w:t>
      </w:r>
      <w:r xmlns:wp="http://schemas.openxmlformats.org/drawingml/2010/wordprocessingDrawing" xmlns:w15="http://schemas.microsoft.com/office/word/2012/wordml">
        <w:rPr>
          <w:rFonts w:ascii="Arial" w:hAnsi="Arial" w:cs="Arial"/>
          <w:sz w:val="22"/>
          <w:szCs w:val="22"/>
        </w:rPr>
        <w:t xml:space="preserve">[PL 2001, c. 17,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646, §1 (NEW). PL 2001, c. 17,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 Ad damnum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Ad damnum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§52. AD DAMNUM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