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Action commenced when complaint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Action commenced when complaint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 ACTION COMMENCED WHEN COMPLAINT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