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5535</w:t>
        <w:t xml:space="preserve">.  </w:t>
      </w:r>
      <w:r>
        <w:rPr>
          <w:b/>
        </w:rPr>
        <w:t xml:space="preserve">Refusal to obey writ</w:t>
      </w:r>
    </w:p>
    <w:p>
      <w:pPr>
        <w:jc w:val="both"/>
        <w:spacing w:before="100" w:after="100"/>
        <w:ind w:start="360"/>
        <w:ind w:firstLine="360"/>
      </w:pPr>
      <w:r>
        <w:rPr/>
      </w:r>
      <w:r>
        <w:rPr/>
      </w:r>
      <w:r>
        <w:t xml:space="preserve">If the person to whom the writ is directed refuses to obey and execute it, the court or justice may issue a precept to any officer or other person therein named, commanding him to bring the person for whose benefit the writ was issued before such court or justice. The prisoner shall thereupon be discharged, bailed or remanded as if brought in on habeas corpus.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§5535. Refusal to obey writ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§5535. Refusal to obey writ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§5535. REFUSAL TO OBEY WRIT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