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§5802. ATTACHMENTS 4 MONTHS PRECEDING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