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5962</w:t>
        <w:t xml:space="preserve">.  </w:t>
      </w:r>
      <w:r>
        <w:rPr>
          <w:b/>
        </w:rPr>
        <w:t xml:space="preserve">Costs</w:t>
      </w:r>
    </w:p>
    <w:p>
      <w:pPr>
        <w:jc w:val="both"/>
        <w:spacing w:before="100" w:after="100"/>
        <w:ind w:start="360"/>
        <w:ind w:firstLine="360"/>
      </w:pPr>
      <w:r>
        <w:rPr/>
      </w:r>
      <w:r>
        <w:rPr/>
      </w:r>
      <w:r>
        <w:t xml:space="preserve">In any proceeding under this chapter, the court may make such award of costs as may seem equitable and just.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§5962.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§5962.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§5962.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