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§6322. Hearing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§6322. Hearing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§6322. HEARING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