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Unknown defendant sued by assumed name</w:t>
      </w:r>
    </w:p>
    <w:p>
      <w:pPr>
        <w:jc w:val="both"/>
        <w:spacing w:before="100" w:after="100"/>
        <w:ind w:start="360"/>
        <w:ind w:firstLine="360"/>
      </w:pPr>
      <w:r>
        <w:rPr/>
      </w:r>
      <w:r>
        <w:rPr/>
      </w:r>
      <w:r>
        <w:t xml:space="preserve">When the name of a defendant is not known to the plaintiff, the summons may issue against him by an assumed name. If duly served, it shall not be dismissed for that reason but may be amended on such terms as the court orders.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Unknown defendant sued by assumed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Unknown defendant sued by assumed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 UNKNOWN DEFENDANT SUED BY ASSUMED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