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Defendant ousting plaintiff deemed disseizor</w:t>
      </w:r>
    </w:p>
    <w:p>
      <w:pPr>
        <w:jc w:val="both"/>
        <w:spacing w:before="100" w:after="100"/>
        <w:ind w:start="360"/>
        <w:ind w:firstLine="360"/>
      </w:pPr>
      <w:r>
        <w:rPr/>
      </w:r>
      <w:r>
        <w:rPr/>
      </w:r>
      <w:r>
        <w:t xml:space="preserve">If the person in possession has actually ousted the plaintiff or withheld the possession, he may, at the plaintiff's election, be considered a disseizor for the purpose of trying the right, although he claims an estate therein less than a freehold.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§6802. Defendant ousting plaintiff deemed disseizor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Defendant ousting plaintiff deemed disseizor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§6802. DEFENDANT OUSTING PLAINTIFF DEEMED DISSEIZOR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