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7214</w:t>
        <w:t xml:space="preserve">.  </w:t>
      </w:r>
      <w:r>
        <w:rPr>
          <w:b/>
        </w:rPr>
        <w:t xml:space="preserve">Defendant may prevail by title subsequently acquired</w:t>
      </w:r>
    </w:p>
    <w:p>
      <w:pPr>
        <w:jc w:val="both"/>
        <w:spacing w:before="100" w:after="100"/>
        <w:ind w:start="360"/>
        <w:ind w:firstLine="360"/>
      </w:pPr>
      <w:r>
        <w:rPr/>
      </w:r>
      <w:r>
        <w:rPr/>
      </w:r>
      <w:r>
        <w:t xml:space="preserve">If it is found that the defendant was not the legal owner of such estate nor had any right as tenant or agent when the process was commenced against him, but afterward acquired a good title, or became tenant or agent, the Attorney General shall cease further to prosecute the action; but when the defendant proves no such title to the estate as owner or interest therein as tenant or agent, judgment shall be rendered that the State be seized thereof, and recover rents and profits as in a civil action between private persons.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§7214. Defendant may prevail by title subsequently acquired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§7214. Defendant may prevail by title subsequently acquired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§7214. DEFENDANT MAY PREVAIL BY TITLE SUBSEQUENTLY ACQUIRED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