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7217</w:t>
        <w:t xml:space="preserve">.  </w:t>
      </w:r>
      <w:r>
        <w:rPr>
          <w:b/>
        </w:rPr>
        <w:t xml:space="preserve">Determination of amount of betterments</w:t>
      </w:r>
    </w:p>
    <w:p>
      <w:pPr>
        <w:jc w:val="both"/>
        <w:spacing w:before="100" w:after="100"/>
        <w:ind w:start="360"/>
        <w:ind w:firstLine="360"/>
      </w:pPr>
      <w:r>
        <w:rPr/>
      </w:r>
      <w:r>
        <w:rPr/>
      </w:r>
      <w:r>
        <w:t xml:space="preserve">For the purpose of ascertaining the amount of such improvements, the Attorney General or the tenant or grantee of the estate may file a complaint in the Superior Court for recovering the same. Proceedings shall be had thereon as in other civil actions to ascertain and adjust the amount.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§7217. Determination of amount of betterments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§7217. Determination of amount of betterments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§7217. DETERMINATION OF AMOUNT OF BETTERMENTS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