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8104-D</w:t>
        <w:t xml:space="preserve">.  </w:t>
      </w:r>
      <w:r>
        <w:rPr>
          <w:b/>
        </w:rPr>
        <w:t xml:space="preserve">Personal liability of employees of a governmental entity</w:t>
      </w:r>
    </w:p>
    <w:p>
      <w:pPr>
        <w:jc w:val="both"/>
        <w:spacing w:before="100" w:after="100"/>
        <w:ind w:start="360"/>
        <w:ind w:firstLine="360"/>
      </w:pPr>
      <w:r>
        <w:rPr/>
      </w:r>
      <w:r>
        <w:rPr/>
      </w:r>
      <w:r>
        <w:t xml:space="preserve">Except as otherwise expressly provided by </w:t>
      </w:r>
      <w:r>
        <w:t>section 8111</w:t>
      </w:r>
      <w:r>
        <w:t xml:space="preserve"> or by any other law, and notwithstanding the common law, the personal liability of an employee of a governmental entity for negligent acts or omissions within the course and scope of employment shall be subject to a limit of $10,000 for any such claims arising out of a single occurrence and the employee is not liable for any amount in excess of that limit on any such claims.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§8104-D. Personal liability of employees of a governmental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§8104-D. Personal liability of employees of a governmental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§8104-D. PERSONAL LIABILITY OF EMPLOYEES OF A GOVERNMENTAL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