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Limitation on actions for penalties</w:t>
      </w:r>
    </w:p>
    <w:p>
      <w:pPr>
        <w:jc w:val="both"/>
        <w:spacing w:before="100" w:after="100"/>
        <w:ind w:start="360"/>
        <w:ind w:firstLine="360"/>
      </w:pPr>
      <w:r>
        <w:rPr/>
      </w:r>
      <w:r>
        <w:rPr/>
      </w:r>
      <w:r>
        <w:t xml:space="preserve">Actions for any penalty or forfeiture on a penal statute, brought by a person to whom the penalty or forfeiture is given in whole or in part, shall be commenced within one year after the commission of the offense. If no person so prosecutes, it may be recovered by civil action, indictment or information in the name and for the use of the State at any time within 2 years after the commission of the offense, and not afterwards.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§858. Limitation on actions for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Limitation on actions for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§858. LIMITATION ON ACTIONS FOR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