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w:t>
        <w:t xml:space="preserve">.  </w:t>
      </w:r>
      <w:r>
        <w:rPr>
          <w:b/>
        </w:rPr>
        <w:t xml:space="preserve">Challenges for cause</w:t>
      </w:r>
    </w:p>
    <w:p>
      <w:pPr>
        <w:jc w:val="both"/>
        <w:spacing w:before="100" w:after="100"/>
        <w:ind w:start="360"/>
        <w:ind w:firstLine="360"/>
      </w:pPr>
      <w:r>
        <w:rPr/>
      </w:r>
      <w:r>
        <w:rPr/>
      </w:r>
      <w:r>
        <w:t xml:space="preserve">Challenges for cause shall be allowed to the prosecuting officer and the accused as in civil cases, but no member of a grand jury finding an indictment shall sit on the trial thereof, if challenged therefor by the accused.</w:t>
      </w:r>
      <w:r>
        <w:t xml:space="preserve">  </w:t>
      </w:r>
      <w:r xmlns:wp="http://schemas.openxmlformats.org/drawingml/2010/wordprocessingDrawing" xmlns:w15="http://schemas.microsoft.com/office/word/2012/wordml">
        <w:rPr>
          <w:rFonts w:ascii="Arial" w:hAnsi="Arial" w:cs="Arial"/>
          <w:sz w:val="22"/>
          <w:szCs w:val="22"/>
        </w:rPr>
        <w:t xml:space="preserve">[PL 1965, c. 356,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§1259. Challenges for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 Challenges for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§1259. CHALLENGES FOR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