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§3002. Purposes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Purposes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§3002. PURPOSES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