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Forms, other than court forms, reporting formats, and other standardized written materials</w:t>
      </w:r>
    </w:p>
    <w:p>
      <w:pPr>
        <w:jc w:val="both"/>
        <w:spacing w:before="100" w:after="100"/>
        <w:ind w:start="360"/>
        <w:ind w:firstLine="360"/>
      </w:pPr>
      <w:r>
        <w:rPr/>
      </w:r>
      <w:r>
        <w:rPr/>
      </w:r>
      <w:r>
        <w:t xml:space="preserve">All forms, reporting formats, and other standardized written materials necessary to fulfill the requirements of this Part must be uniform for all state and local agencies providing services according to the provisions of this Part; and those forms, reporting formats, and other standardized written materials must be developed and approved jointly by the Department of Corrections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1995, c. 502, Pt. F,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1981, c. 493, §2 (AMD). PL 1995, c. 502, §F4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§3005. Forms, other than court forms, reporting formats, and other standardized written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Forms, other than court forms, reporting formats, and other standardized written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§3005. FORMS, OTHER THAN COURT FORMS, REPORTING FORMATS, AND OTHER STANDARDIZED WRITTEN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