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Jurisdiction conferred by general law</w:t>
      </w:r>
    </w:p>
    <w:p>
      <w:pPr>
        <w:jc w:val="both"/>
        <w:spacing w:before="100" w:after="100"/>
        <w:ind w:start="360"/>
        <w:ind w:firstLine="360"/>
      </w:pPr>
      <w:r>
        <w:rPr/>
      </w:r>
      <w:r>
        <w:rPr/>
      </w:r>
      <w:r>
        <w:t xml:space="preserve">Nothing in this chapter shall be deemed to take away from the juvenile court any jurisdiction or duties conferred upon the court by general law, nor to take away from the District Court jurisdiction over offenses conferred on that court and not removed by this Part.</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§3104. Jurisdiction conferred by general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Jurisdiction conferred by general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§3104. JURISDICTION CONFERRED BY GENERAL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