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3302</w:t>
        <w:t xml:space="preserve">.  </w:t>
      </w:r>
      <w:r>
        <w:rPr>
          <w:b/>
        </w:rPr>
        <w:t xml:space="preserve">Petition, form and contents</w:t>
      </w:r>
    </w:p>
    <w:p>
      <w:pPr>
        <w:jc w:val="both"/>
        <w:spacing w:before="100" w:after="100"/>
        <w:ind w:start="360"/>
        <w:ind w:firstLine="360"/>
      </w:pPr>
      <w:r>
        <w:rPr/>
      </w:r>
      <w:r>
        <w:rPr/>
      </w:r>
      <w:r>
        <w:t xml:space="preserve">The form and content of a petition in any proceeding brought under </w:t>
      </w:r>
      <w:r>
        <w:t>chapter 503</w:t>
      </w:r>
      <w:r>
        <w:t xml:space="preserve"> must be substantially the same as the form and content of a complaint under Rule 3 of the Maine Rules of Unified Criminal Procedure.</w:t>
      </w:r>
      <w:r>
        <w:t xml:space="preserve">  </w:t>
      </w:r>
      <w:r xmlns:wp="http://schemas.openxmlformats.org/drawingml/2010/wordprocessingDrawing" xmlns:w15="http://schemas.microsoft.com/office/word/2012/wordml">
        <w:rPr>
          <w:rFonts w:ascii="Arial" w:hAnsi="Arial" w:cs="Arial"/>
          <w:sz w:val="22"/>
          <w:szCs w:val="22"/>
        </w:rPr>
        <w:t xml:space="preserve">[PL 2015, c. 431, §29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§1 (NEW). PL 1989, c. 741, §11 (AMD). PL 2015, c. 431, §29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§3302. Petition, form and contents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§3302. Petition, form and contents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§3302. PETITION, FORM AND CONTENTS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