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§3308-A. DISSEMINATION OF JUVENILE INTELLIGENCE AND INVESTIGATIVE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