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H</w:t>
        <w:t xml:space="preserve">.  </w:t>
      </w:r>
      <w:r>
        <w:rPr/>
      </w:r>
      <w:r>
        <w:t xml:space="preserve">Juvenile case records must be open to inspection by and, upon request, be disseminated to the Maine Commission on Public Defense Services established by </w:t>
      </w:r>
      <w:r>
        <w:t>Title 5, section 12004‑G, subsection 25‑A</w:t>
      </w:r>
      <w:r>
        <w:t xml:space="preserve"> for the purposes of assigning, evaluating or supervising counsel.</w:t>
      </w:r>
      <w:r>
        <w:t xml:space="preserve">  </w:t>
      </w:r>
      <w:r xmlns:wp="http://schemas.openxmlformats.org/drawingml/2010/wordprocessingDrawing" xmlns:w15="http://schemas.microsoft.com/office/word/2012/wordml">
        <w:rPr>
          <w:rFonts w:ascii="Arial" w:hAnsi="Arial" w:cs="Arial"/>
          <w:sz w:val="22"/>
          <w:szCs w:val="22"/>
        </w:rPr>
        <w:t xml:space="preserve">[PL 2023, c. 638,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§22 (AMD).]</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juvenile history record information of which is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 For purposes of this paragraph, "juvenile history record information" has the same meaning as in </w:t>
      </w:r>
      <w:r>
        <w:t>section 3010,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557, §2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§2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PL 2023, c. 557, §2 (AMD). PL 2023, c. 638,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§3308-C. CONFIDENTIALITY OF JUVENILE CASE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