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Laws of foreign countries</w:t>
      </w:r>
    </w:p>
    <w:p>
      <w:pPr>
        <w:jc w:val="both"/>
        <w:spacing w:before="100" w:after="100"/>
        <w:ind w:start="360"/>
        <w:ind w:firstLine="360"/>
      </w:pPr>
      <w:r>
        <w:rPr/>
      </w:r>
      <w:r>
        <w:rPr/>
      </w:r>
      <w:r>
        <w:t xml:space="preserve">The law of a jurisdiction other than those referred to in </w:t>
      </w:r>
      <w:r>
        <w:t>section 402</w:t>
      </w:r>
      <w:r>
        <w:t xml:space="preserve"> shall be an issue for the court but shall not be subject to </w:t>
      </w:r>
      <w:r>
        <w:t>sections 402</w:t>
      </w:r>
      <w:r>
        <w:t xml:space="preserve"> to </w:t>
      </w:r>
      <w:r>
        <w:t>405</w:t>
      </w:r>
      <w:r>
        <w:t xml:space="preserve">, concerning judicial notice.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Laws of foreign countries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Laws of foreign countries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§406. LAWS OF FOREIGN COUNTRIES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