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 or remote computing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electronic device content information directly from a provider of electronic communication service or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or remote computing service may disclose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3</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a justice, judge or justice of the peace may not issue a search warrant permitting a government entity to obtain electronic device content information directly from a provider of electronic communication service or remote computing service that relates to an investigation into legally protected health care activity or aiding and assisting legally protected health care activity. For purposes of this subsection, "aiding and assisting legally protected health care activity" and "legally protected health care activity" have the same meanings as in </w:t>
      </w:r>
      <w:r>
        <w:t>Title 14, section 9002, subsection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§2 (NEW).]</w:t>
      </w:r>
    </w:p>
    <w:p>
      <w:pPr>
        <w:jc w:val="both"/>
        <w:spacing w:before="100" w:after="100"/>
        <w:ind w:start="360"/>
      </w:pPr>
      <w:r>
        <w:rPr>
          <w:b w:val="true"/>
          <w:i/>
          <w:caps w:val="true"/>
        </w:rPr>
        <w:t xml:space="preserve">Revisor's Note: </w:t>
      </w:r>
      <w:r>
        <w:t>§642.  Warrant needed for acquisition of location information (As enacted by PL 2013, c. 409, §1 is REALLOCATED TO TITLE 16, SECTION 648)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PL 2023, c. 499, §7 (AMD). PL 2023, c. 648,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Authority to obtain and disclose content information held by a provider of electronic communication service or remote computing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Authority to obtain and disclose content information held by a provider of electronic communication service or remote computing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§642. AUTHORITY TO OBTAIN AND DISCLOSE CONTENT INFORMATION HELD BY A PROVIDER OF ELECTRONIC COMMUNICATION SERVICE OR REMOTE COMPUTING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