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an electronic device whose content information was obtained by a government entity.  The notice requirements of this section do not apply if the government entity is unable to identify the owner or user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2023, c. 499, §8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section 642 may include in its application for a warrant a request for an order directing a provider of electronic communication service or remote computing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§9 (AMD).]</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PL 2023, c. 499,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