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Exceptions</w:t>
      </w:r>
    </w:p>
    <w:p>
      <w:pPr>
        <w:jc w:val="both"/>
        <w:spacing w:before="100" w:after="0"/>
        <w:ind w:start="360"/>
        <w:ind w:firstLine="360"/>
      </w:pPr>
      <w:r>
        <w:rPr>
          <w:b/>
        </w:rPr>
        <w:t>1</w:t>
        <w:t xml:space="preserve">.  </w:t>
      </w:r>
      <w:r>
        <w:rPr>
          <w:b/>
        </w:rPr>
        <w:t xml:space="preserve">Consent of owner or user.</w:t>
        <w:t xml:space="preserve"> </w:t>
      </w:r>
      <w:r>
        <w:t xml:space="preserve"> </w:t>
      </w:r>
      <w:r>
        <w:t xml:space="preserve">When disclosure of electronic device content information is not prohibited by federal law, a government entity may obtain the information without a warrant with the informed, affirmative consent of the owner or user of the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§10 (AMD).]</w:t>
      </w:r>
    </w:p>
    <w:p>
      <w:pPr>
        <w:jc w:val="both"/>
        <w:spacing w:before="100" w:after="0"/>
        <w:ind w:start="360"/>
        <w:ind w:firstLine="360"/>
      </w:pPr>
      <w:r>
        <w:rPr>
          <w:b/>
        </w:rPr>
        <w:t>2</w:t>
        <w:t xml:space="preserve">.  </w:t>
      </w:r>
      <w:r>
        <w:rPr>
          <w:b/>
        </w:rPr>
        <w:t xml:space="preserve">Consent of owner or user not required if content information public.</w:t>
        <w:t xml:space="preserve"> </w:t>
      </w:r>
      <w:r>
        <w:t xml:space="preserve"> </w:t>
      </w:r>
      <w:r>
        <w:t xml:space="preserve">Notwithstanding </w:t>
      </w:r>
      <w:r>
        <w:t>subsection 1</w:t>
      </w:r>
      <w:r>
        <w:t xml:space="preserve">, a government entity may obtain content information without a warrant if the content information is otherwise disclosed by anyone in a publicly accessible domain, including, but not limited to,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Emergency.</w:t>
        <w:t xml:space="preserve"> </w:t>
      </w:r>
      <w:r>
        <w:t xml:space="preserve"> </w:t>
      </w:r>
      <w:r>
        <w:t xml:space="preserve">When a government entity cannot, with due diligence, obtain a warrant in time to address an emergency that involves or is believed to involve imminent danger of death or serious physical injury to any person, a government entity may obtain the content information from an electronic device without a warrant, and a provider of electronic communication service or remote computing service may disclose such information to the requesting government entity without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§11 (AMD).]</w:t>
      </w:r>
    </w:p>
    <w:p>
      <w:pPr>
        <w:jc w:val="both"/>
        <w:spacing w:before="100" w:after="100"/>
        <w:ind w:start="360"/>
      </w:pPr>
      <w:r>
        <w:rPr>
          <w:b w:val="true"/>
          <w:i/>
          <w:caps w:val="true"/>
        </w:rPr>
        <w:t xml:space="preserve">Revisor's Note: </w:t>
      </w:r>
      <w:r>
        <w:t>§644.  Exceptions to warrant requirement (As enacted by PL 2013, c. 409, § 1 is REALLOCATED TO TITLE 16, SECTION 650)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2013, c. 402, §1 (NEW). PL 2013, c. 409, §1 (NEW). PL 2019, c. 489, §9 (AMD). PL 2023, c. 499,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