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w:t>
        <w:t xml:space="preserve">.  </w:t>
      </w:r>
      <w:r>
        <w:rPr>
          <w:b/>
        </w:rPr>
        <w:t xml:space="preserve">Definitions</w:t>
      </w:r>
    </w:p>
    <w:p>
      <w:pPr>
        <w:jc w:val="both"/>
        <w:spacing w:before="100" w:after="100"/>
        <w:ind w:start="360"/>
      </w:pPr>
      <w:r>
        <w:rPr>
          <w:b/>
        </w:rPr>
        <w:t>(REALLOCATED FROM TITLE 16, SECTION 641)</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E</w:t>
        <w:t xml:space="preserve">.  </w:t>
      </w:r>
      <w:r>
        <w:rPr/>
      </w:r>
      <w:r>
        <w:t xml:space="preserve">Seriously jeopardizes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§10 (AMD).]</w:t>
      </w:r>
    </w:p>
    <w:p>
      <w:pPr>
        <w:jc w:val="both"/>
        <w:spacing w:before="100" w:after="0"/>
        <w:ind w:start="360"/>
        <w:ind w:firstLine="360"/>
      </w:pPr>
      <w:r>
        <w:rPr>
          <w:b/>
        </w:rPr>
        <w:t>2</w:t>
        <w:t xml:space="preserve">.  </w:t>
      </w:r>
      <w:r>
        <w:rPr>
          <w:b/>
        </w:rPr>
        <w:t xml:space="preserve">Electronic communication service.</w:t>
        <w:t xml:space="preserve"> </w:t>
      </w:r>
      <w:r>
        <w:t xml:space="preserve"> </w:t>
      </w:r>
      <w:r>
        <w:t xml:space="preserve">"Electronic communication service" means a service that provides to users the ability to send or receive wire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3</w:t>
        <w:t xml:space="preserve">.  </w:t>
      </w:r>
      <w:r>
        <w:rPr>
          <w:b/>
        </w:rPr>
        <w:t xml:space="preserve">Electronic device.</w:t>
        <w:t xml:space="preserve"> </w:t>
      </w:r>
      <w:r>
        <w:t xml:space="preserve"> </w:t>
      </w:r>
      <w:r>
        <w:t xml:space="preserve">"Electronic device" means a device that is electric and that enables access to, or use of, an electronic communication service, remote computing service or location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§11 (AMD).]</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agency, including but not limited to a law enforcement entity or any other investigative entity, agency, department, division, bureau, board or commission or an individual acting or purporting to act for or on behalf of a state or local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5</w:t>
        <w:t xml:space="preserve">.  </w:t>
      </w:r>
      <w:r>
        <w:rPr>
          <w:b/>
        </w:rPr>
        <w:t xml:space="preserve">Location information.</w:t>
        <w:t xml:space="preserve"> </w:t>
      </w:r>
      <w:r>
        <w:t xml:space="preserve"> </w:t>
      </w:r>
      <w:r>
        <w:t xml:space="preserve">"Location information" means information concerning the location of an electronic device, including both the current location and any prior location of the device, that, in whole or in part, is generated, derived from or obtained by the operation of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6</w:t>
        <w:t xml:space="preserve">.  </w:t>
      </w:r>
      <w:r>
        <w:rPr>
          <w:b/>
        </w:rPr>
        <w:t xml:space="preserve">Location information service.</w:t>
        <w:t xml:space="preserve"> </w:t>
      </w:r>
      <w:r>
        <w:t xml:space="preserve"> </w:t>
      </w:r>
      <w:r>
        <w:t xml:space="preserve">"Location information service" means a global positioning service or other mapping, locational or directional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7</w:t>
        <w:t xml:space="preserve">.  </w:t>
      </w:r>
      <w:r>
        <w:rPr>
          <w:b/>
        </w:rPr>
        <w:t xml:space="preserve">Owner.</w:t>
        <w:t xml:space="preserve"> </w:t>
      </w:r>
      <w:r>
        <w:t xml:space="preserve"> </w:t>
      </w:r>
      <w:r>
        <w:t xml:space="preserve">"Owner" means the person or entity having the legal title, claim or right to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8</w:t>
        <w:t xml:space="preserve">.  </w:t>
      </w:r>
      <w:r>
        <w:rPr>
          <w:b/>
        </w:rPr>
        <w:t xml:space="preserve">Remote computing service.</w:t>
        <w:t xml:space="preserve"> </w:t>
      </w:r>
      <w:r>
        <w:t xml:space="preserve"> </w:t>
      </w:r>
      <w:r>
        <w:t xml:space="preserve">"Remote computing service" means computer storage or processing services provided by means of an electronic communication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100"/>
        <w:ind w:start="360"/>
        <w:ind w:firstLine="360"/>
      </w:pPr>
      <w:r>
        <w:rPr>
          <w:b/>
        </w:rPr>
        <w:t>8-A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necessary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§12 (NEW).]</w:t>
      </w:r>
    </w:p>
    <w:p>
      <w:pPr>
        <w:jc w:val="both"/>
        <w:spacing w:before="100" w:after="0"/>
        <w:ind w:start="360"/>
        <w:ind w:firstLine="360"/>
      </w:pPr>
      <w:r>
        <w:rPr>
          <w:b/>
        </w:rPr>
        <w:t>9</w:t>
        <w:t xml:space="preserve">.  </w:t>
      </w:r>
      <w:r>
        <w:rPr>
          <w:b/>
        </w:rPr>
        <w:t xml:space="preserve">User.</w:t>
        <w:t xml:space="preserve"> </w:t>
      </w:r>
      <w:r>
        <w:t xml:space="preserve"> </w:t>
      </w:r>
      <w:r>
        <w:t xml:space="preserve">"User" means a person or entity that uses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2019, c. 489,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