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§650-A. Conditions of use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§650-A. Conditions of use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§650-A. CONDITIONS OF USE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