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PRELIMINARY</w:t>
      </w:r>
    </w:p>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jc w:val="both"/>
        <w:spacing w:before="100" w:after="100"/>
        <w:ind w:start="1080" w:hanging="720"/>
      </w:pPr>
      <w:r>
        <w:rPr>
          <w:b/>
        </w:rPr>
        <w:t>§</w:t>
        <w:t>4-B</w:t>
        <w:t xml:space="preserve">.  </w:t>
      </w:r>
      <w:r>
        <w:rPr>
          <w:b/>
        </w:rPr>
        <w:t xml:space="preserve">Civil violations</w:t>
      </w:r>
    </w:p>
    <w:p>
      <w:pPr>
        <w:jc w:val="both"/>
        <w:spacing w:before="100" w:after="0"/>
        <w:ind w:start="360"/>
        <w:ind w:firstLine="360"/>
      </w:pPr>
      <w:r>
        <w:rPr>
          <w:b/>
        </w:rPr>
        <w:t>1</w:t>
        <w:t xml:space="preserve">.  </w:t>
      </w:r>
      <w:r>
        <w:rPr>
          <w:b/>
        </w:rPr>
      </w:r>
      <w:r>
        <w:t xml:space="preserve"> </w:t>
      </w:r>
      <w:r>
        <w:t xml:space="preserve">All civil violations are expressly declared not to be criminal offenses.  They are enforceable by the Attorney General, the Attorney General's representative or any other appropriate public official in a civil action to recover what may be designated a fine, penalty or other sanction, or to secure the forfeiture that may be decreed by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§3 (AMD).]</w:t>
      </w:r>
    </w:p>
    <w:p>
      <w:pPr>
        <w:jc w:val="both"/>
        <w:spacing w:before="100" w:after="0"/>
        <w:ind w:start="360"/>
        <w:ind w:firstLine="360"/>
      </w:pPr>
      <w:r>
        <w:rPr>
          <w:b/>
        </w:rPr>
        <w:t>2</w:t>
        <w:t xml:space="preserve">.  </w:t>
      </w:r>
      <w:r>
        <w:rPr>
          <w:b/>
        </w:rPr>
      </w:r>
      <w:r>
        <w:t xml:space="preserve"> </w:t>
      </w:r>
      <w:r>
        <w:t xml:space="preserve">A law or ordinance may be expressly designated as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3</w:t>
        <w:t xml:space="preserve">.  </w:t>
      </w:r>
      <w:r>
        <w:rPr>
          <w:b/>
        </w:rPr>
      </w:r>
      <w:r>
        <w:t xml:space="preserve"> </w:t>
      </w:r>
      <w:r>
        <w:t xml:space="preserve">A law or ordinance which prohibits defined conduct, but does not provide an imprisonment penalty, is a civil violation, enforceable in accordance with </w:t>
      </w:r>
      <w:r>
        <w:t>subsection 1</w:t>
      </w:r>
      <w:r>
        <w:t xml:space="preserve">.  A law or ordinance which is stated to be a criminal violation or which otherwise uses language indicating that it is a crime, but does not provide an imprisonment penalty is a civil violation, enforceable in accordance with </w:t>
      </w:r>
      <w:r>
        <w:t>subsection 1</w:t>
      </w:r>
      <w:r>
        <w:t xml:space="preserve">, unless the law or ordinance is an exception to the operation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w:pPr>
        <w:jc w:val="both"/>
        <w:spacing w:before="100" w:after="0"/>
        <w:ind w:start="360"/>
        <w:ind w:firstLine="360"/>
      </w:pPr>
      <w:r>
        <w:rPr>
          <w:b/>
        </w:rPr>
        <w:t>4</w:t>
        <w:t xml:space="preserve">.  </w:t>
      </w:r>
      <w:r>
        <w:rPr>
          <w:b/>
        </w:rPr>
      </w:r>
      <w:r>
        <w:t xml:space="preserve"> </w:t>
      </w:r>
      <w:r>
        <w:t xml:space="preserve">Evidence obtained pursuant to an unlawful search and seizure shall not be admissible in a civil violation proceeding arising under </w:t>
      </w:r>
      <w:r>
        <w:t>Title 22, section 2383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§3 (NEW). PL 2007, c. 173, §3 (AMD). </w:t>
      </w:r>
    </w:p>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jc w:val="both"/>
        <w:spacing w:before="100" w:after="100"/>
        <w:ind w:start="1080" w:hanging="720"/>
      </w:pPr>
      <w:r>
        <w:rPr>
          <w:b/>
        </w:rPr>
        <w:t>§</w:t>
        <w:t>7</w:t>
        <w:t xml:space="preserve">.  </w:t>
      </w:r>
      <w:r>
        <w:rPr>
          <w:b/>
        </w:rPr>
        <w:t xml:space="preserve">Territorial applicability</w:t>
      </w:r>
    </w:p>
    <w:p>
      <w:pPr>
        <w:jc w:val="both"/>
        <w:spacing w:before="100" w:after="100"/>
        <w:ind w:start="360"/>
        <w:ind w:firstLine="360"/>
      </w:pPr>
      <w:r>
        <w:rPr>
          <w:b/>
        </w:rPr>
        <w:t>1</w:t>
        <w:t xml:space="preserve">.  </w:t>
      </w:r>
      <w:r>
        <w:rPr>
          <w:b/>
        </w:rPr>
      </w:r>
      <w:r>
        <w:t xml:space="preserve"> </w:t>
      </w:r>
      <w:r>
        <w:t xml:space="preserve">Except as otherwise provided in this section, a person may be convicted under the laws of this State for any crime committed by the person's own conduct or by the conduct of another for which the person is legally accountable only if:</w:t>
      </w:r>
    </w:p>
    <w:p>
      <w:pPr>
        <w:jc w:val="both"/>
        <w:spacing w:before="100" w:after="0"/>
        <w:ind w:start="720"/>
      </w:pPr>
      <w:r>
        <w:rPr/>
        <w:t>A</w:t>
        <w:t xml:space="preserve">.  </w:t>
      </w:r>
      <w:r>
        <w:rPr/>
      </w:r>
      <w:r>
        <w:t xml:space="preserve">Either the conduct that is an element of the crime or the result that is such an element occurs within this State or has a territorial relationship to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B</w:t>
        <w:t xml:space="preserve">.  </w:t>
      </w:r>
      <w:r>
        <w:rPr/>
      </w:r>
      <w:r>
        <w:t xml:space="preserve">Conduct occurring outside this State constitutes an attempt to commit a crime under the laws of this State and the intent is that the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Conduct occurring outside this State would constitute a criminal conspiracy under the laws of this State, an overt act in furtherance of the conspiracy occurs within this State or has a territorial relationship to this State, and the object of the conspiracy is that a crime take place within this State;</w:t>
      </w:r>
      <w:r>
        <w:t xml:space="preserve">  </w:t>
      </w:r>
      <w:r xmlns:wp="http://schemas.openxmlformats.org/drawingml/2010/wordprocessingDrawing" xmlns:w15="http://schemas.microsoft.com/office/word/2012/wordml">
        <w:rPr>
          <w:rFonts w:ascii="Arial" w:hAnsi="Arial" w:cs="Arial"/>
          <w:sz w:val="22"/>
          <w:szCs w:val="22"/>
        </w:rPr>
        <w:t xml:space="preserve">[PL 1979, c. 512, §16 (AMD).]</w:t>
      </w:r>
    </w:p>
    <w:p>
      <w:pPr>
        <w:jc w:val="both"/>
        <w:spacing w:before="100" w:after="0"/>
        <w:ind w:start="720"/>
      </w:pPr>
      <w:r>
        <w:rPr/>
        <w:t>D</w:t>
        <w:t xml:space="preserve">.  </w:t>
      </w:r>
      <w:r>
        <w:rPr/>
      </w:r>
      <w:r>
        <w:t xml:space="preserve">Conduct occurring within this State or having a territorial relationship to this State would constitute complicity in the commission of, or an attempt, solicitation or conspiracy to commit an offense in another jurisdiction that is also a crime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E</w:t>
        <w:t xml:space="preserve">.  </w:t>
      </w:r>
      <w:r>
        <w:rPr/>
      </w:r>
      <w:r>
        <w:t xml:space="preserve">The crime consists of the omission to perform a duty imposed on a person by the law of this State, regardless of where that person is when the omission occurs;</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F</w:t>
        <w:t xml:space="preserve">.  </w:t>
      </w:r>
      <w:r>
        <w:rPr/>
      </w:r>
      <w:r>
        <w:t xml:space="preserve">The crime is based on a statute of this State that expressly prohibits conduct outside the State, when the person knows or should know that the person's conduct affects an interest of the State protected by that statute; or</w:t>
      </w:r>
      <w:r>
        <w:t xml:space="preserve">  </w:t>
      </w:r>
      <w:r xmlns:wp="http://schemas.openxmlformats.org/drawingml/2010/wordprocessingDrawing" xmlns:w15="http://schemas.microsoft.com/office/word/2012/wordml">
        <w:rPr>
          <w:rFonts w:ascii="Arial" w:hAnsi="Arial" w:cs="Arial"/>
          <w:sz w:val="22"/>
          <w:szCs w:val="22"/>
        </w:rPr>
        <w:t xml:space="preserve">[PL 2007, c. 173, §4 (AMD).]</w:t>
      </w:r>
    </w:p>
    <w:p>
      <w:pPr>
        <w:jc w:val="both"/>
        <w:spacing w:before="100" w:after="0"/>
        <w:ind w:start="720"/>
      </w:pPr>
      <w:r>
        <w:rPr/>
        <w:t>G</w:t>
        <w:t xml:space="preserve">.  </w:t>
      </w:r>
      <w:r>
        <w:rPr/>
      </w:r>
      <w:r>
        <w:t xml:space="preserve">Jurisdiction is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§4 (AMD).]</w:t>
      </w:r>
    </w:p>
    <w:p>
      <w:pPr>
        <w:jc w:val="both"/>
        <w:spacing w:before="100" w:after="100"/>
        <w:ind w:start="360"/>
        <w:ind w:firstLine="360"/>
      </w:pPr>
      <w:r>
        <w:rPr>
          <w:b/>
        </w:rPr>
        <w:t>2</w:t>
        <w:t xml:space="preserve">.  </w:t>
      </w:r>
      <w:r>
        <w:rPr>
          <w:b/>
        </w:rPr>
      </w:r>
      <w:r>
        <w:t xml:space="preserve"> </w:t>
      </w:r>
      <w:r>
        <w:t>Subsection 1, paragraph A</w:t>
      </w:r>
      <w:r>
        <w:t xml:space="preserve"> does not apply if:</w:t>
      </w:r>
    </w:p>
    <w:p>
      <w:pPr>
        <w:jc w:val="both"/>
        <w:spacing w:before="100" w:after="0"/>
        <w:ind w:start="720"/>
      </w:pPr>
      <w:r>
        <w:rPr/>
        <w:t>A</w:t>
        <w:t xml:space="preserve">.  </w:t>
      </w:r>
      <w:r>
        <w:rPr/>
      </w:r>
      <w:r>
        <w:t xml:space="preserve">Causing a particular result or danger of causing that result is an element and the result occurs or is designed or likely to occur only in another jurisdiction where the conduct charged would not constitute an offense;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Causing a particular result is an element of the crime and the result is caused by conduct occurring outside the State which would not constitute an offense if the result had occurred there.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When the crime is homicide, a person may be convicted under the laws of this State if either the death of the victim or the bodily impact causing death occurred within the State or had a territorial relationship to the State. Proof that the body of a homicide victim is found within this State gives rise to a permissible inference under the Maine Rules of Evidence, Rule 303 that such death or impact occurred within the State. When the crime is theft, a person may be convicted under the laws of this State if that person obtained property of another, as defined in </w:t>
      </w:r>
      <w:r>
        <w:t>chapter 15, section 352</w:t>
      </w:r>
      <w:r>
        <w:t xml:space="preserve">, outside of this State and brought the property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 (AMD); PL 2001, c. 383, §156 (AFF).]</w:t>
      </w:r>
    </w:p>
    <w:p>
      <w:pPr>
        <w:jc w:val="both"/>
        <w:spacing w:before="100" w:after="100"/>
        <w:ind w:start="360"/>
        <w:ind w:firstLine="360"/>
      </w:pPr>
      <w:r>
        <w:rPr>
          <w:b/>
        </w:rPr>
        <w:t>4</w:t>
        <w:t xml:space="preserve">.  </w:t>
      </w:r>
      <w:r>
        <w:rPr>
          <w:b/>
        </w:rPr>
      </w:r>
      <w:r>
        <w:t xml:space="preserve"> </w:t>
      </w:r>
      <w:r>
        <w:t xml:space="preserve">Conduct or a result has a territorial relationship to this State if it is not possible to determine beyond a reasonable doubt that it occurred inside or outside of this State, because a boundary cannot be precisely located or the location of any person cannot be precisely established in relation to a boundary, and if the court determines that this State has a substantial interest in prohibiting the conduct or result. In determining whether this State has a substantial interest, the court shall consider the following factors:</w:t>
      </w:r>
    </w:p>
    <w:p>
      <w:pPr>
        <w:jc w:val="both"/>
        <w:spacing w:before="100" w:after="0"/>
        <w:ind w:start="720"/>
      </w:pPr>
      <w:r>
        <w:rPr/>
        <w:t>A</w:t>
        <w:t xml:space="preserve">.  </w:t>
      </w:r>
      <w:r>
        <w:rPr/>
      </w:r>
      <w:r>
        <w:t xml:space="preserve">The relationship to this State of the actor or actors and of persons affected by the conduct or result, whether as citizens, residents or visitors;</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B</w:t>
        <w:t xml:space="preserve">.  </w:t>
      </w:r>
      <w:r>
        <w:rPr/>
      </w:r>
      <w:r>
        <w:t xml:space="preserve">The location of the actor or actors and persons affected by the conduct or result prior to and after the conduct or result;</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w:pPr>
        <w:jc w:val="both"/>
        <w:spacing w:before="100" w:after="0"/>
        <w:ind w:start="720"/>
      </w:pPr>
      <w:r>
        <w:rPr/>
        <w:t>C</w:t>
        <w:t xml:space="preserve">.  </w:t>
      </w:r>
      <w:r>
        <w:rPr/>
      </w:r>
      <w:r>
        <w:t xml:space="preserve">The place in which other crimes, if any, in the same criminal episode were committed; and</w:t>
      </w:r>
      <w:r>
        <w:t xml:space="preserve">  </w:t>
      </w:r>
      <w:r xmlns:wp="http://schemas.openxmlformats.org/drawingml/2010/wordprocessingDrawing" xmlns:w15="http://schemas.microsoft.com/office/word/2012/wordml">
        <w:rPr>
          <w:rFonts w:ascii="Arial" w:hAnsi="Arial" w:cs="Arial"/>
          <w:sz w:val="22"/>
          <w:szCs w:val="22"/>
        </w:rPr>
        <w:t xml:space="preserve">[PL 1981, c. 470, Pt. A, §36 (AMD).]</w:t>
      </w:r>
    </w:p>
    <w:p>
      <w:pPr>
        <w:jc w:val="both"/>
        <w:spacing w:before="100" w:after="0"/>
        <w:ind w:start="720"/>
      </w:pPr>
      <w:r>
        <w:rPr/>
        <w:t>D</w:t>
        <w:t xml:space="preserve">.  </w:t>
      </w:r>
      <w:r>
        <w:rPr/>
      </w:r>
      <w:r>
        <w:t xml:space="preserve">The place in which the intent to commit the crime was formed.</w:t>
      </w:r>
      <w:r>
        <w:t xml:space="preserve">  </w:t>
      </w:r>
      <w:r xmlns:wp="http://schemas.openxmlformats.org/drawingml/2010/wordprocessingDrawing" xmlns:w15="http://schemas.microsoft.com/office/word/2012/wordml">
        <w:rPr>
          <w:rFonts w:ascii="Arial" w:hAnsi="Arial" w:cs="Arial"/>
          <w:sz w:val="22"/>
          <w:szCs w:val="22"/>
        </w:rPr>
        <w:t xml:space="preserve">[PL 1979, c. 512,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§36 (AMD).]</w:t>
      </w:r>
    </w:p>
    <w:p>
      <w:pPr>
        <w:jc w:val="both"/>
        <w:spacing w:before="100" w:after="0"/>
        <w:ind w:start="360"/>
        <w:ind w:firstLine="360"/>
      </w:pPr>
      <w:r>
        <w:rPr>
          <w:b/>
        </w:rPr>
        <w:t>5</w:t>
        <w:t xml:space="preserve">.  </w:t>
      </w:r>
      <w:r>
        <w:rPr>
          <w:b/>
        </w:rPr>
      </w:r>
      <w:r>
        <w:t xml:space="preserve"> </w:t>
      </w:r>
      <w:r>
        <w:t xml:space="preserve">The existence of territorial jurisdiction must be proved beyond a reasonable doubt.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§§15-19 (AMD). PL 1981, c. 324, §10 (AMD). PL 1981, c. 470, §A36 (AMD). PL 2001, c. 383, §2 (AMD). PL 2001, c. 383, §156 (AFF). PL 2007, c. 173, §4 (AMD). </w:t>
      </w:r>
    </w:p>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w:pPr>
        <w:jc w:val="both"/>
        <w:spacing w:before="100" w:after="0"/>
        <w:ind w:start="360"/>
        <w:ind w:firstLine="360"/>
      </w:pPr>
      <w:r>
        <w:rPr>
          <w:b/>
        </w:rPr>
        <w:t>3</w:t>
        <w:t xml:space="preserve">.  </w:t>
      </w:r>
      <w:r>
        <w:rPr>
          <w:b/>
        </w:rPr>
      </w:r>
      <w:r>
        <w:t xml:space="preserve"> </w:t>
      </w:r>
      <w:r>
        <w:t xml:space="preserve">Except as provided in </w:t>
      </w:r>
      <w:r>
        <w:t>subsections 1</w:t>
      </w:r>
      <w:r>
        <w:t xml:space="preserve"> and </w:t>
      </w:r>
      <w:r>
        <w:t>2</w:t>
      </w:r>
      <w:r>
        <w:t xml:space="preserve">, when concurrent jurisdiction has been established pursuant to </w:t>
      </w:r>
      <w:r>
        <w:t>Title 15, section 3101, subsection 2, paragraph F</w:t>
      </w:r>
      <w:r>
        <w:t xml:space="preserve">, the Juvenile Court has exclusive original jurisdiction over a case involving a juvenile who is alleged to have committed a juvenile crime as defined in </w:t>
      </w:r>
      <w:r>
        <w:t>Title 15, section 3103,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PL 2023, c. 605, §3 (AMD). </w:t>
      </w:r>
    </w:p>
    <w:p>
      <w:pPr>
        <w:jc w:val="both"/>
        <w:spacing w:before="100" w:after="100"/>
        <w:ind w:start="1080" w:hanging="720"/>
      </w:pPr>
      <w:r>
        <w:rPr>
          <w:b/>
        </w:rPr>
        <w:t>§</w:t>
        <w:t>11</w:t>
        <w:t xml:space="preserve">.  </w:t>
      </w:r>
      <w:r>
        <w:rPr>
          <w:b/>
        </w:rPr>
        <w:t xml:space="preserve">Requirement of culpable mental states; liability without culpability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§19 (AMD). PL 1981, c. 317, §5 (AMD). PL 1981, c. 324, §13 (RP). PL 1981, c. 470, §§B5,7-A (RP). </w:t>
      </w:r>
    </w:p>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jc w:val="both"/>
        <w:spacing w:before="100" w:after="100"/>
        <w:ind w:start="1080" w:hanging="720"/>
      </w:pPr>
      <w:r>
        <w:rPr>
          <w:b/>
        </w:rPr>
        <w:t>§</w:t>
        <w:t>16</w:t>
        <w:t xml:space="preserve">.  </w:t>
      </w:r>
      <w:r>
        <w:rPr>
          <w:b/>
        </w:rPr>
        <w:t xml:space="preserve">Warrantless arrests by a private person</w:t>
      </w:r>
    </w:p>
    <w:p>
      <w:pPr>
        <w:jc w:val="both"/>
        <w:spacing w:before="100" w:after="100"/>
        <w:ind w:start="360"/>
        <w:ind w:firstLine="360"/>
      </w:pPr>
      <w:r>
        <w:rPr/>
      </w:r>
      <w:r>
        <w:rPr/>
      </w:r>
      <w:r>
        <w:t xml:space="preserve">Except as otherwise specifically provided, a private person has the authority to arrest without a warrant:</w:t>
      </w:r>
      <w:r>
        <w:t xml:space="preserve">  </w:t>
      </w:r>
      <w:r xmlns:wp="http://schemas.openxmlformats.org/drawingml/2010/wordprocessingDrawing" xmlns:w15="http://schemas.microsoft.com/office/word/2012/wordml">
        <w:rPr>
          <w:rFonts w:ascii="Arial" w:hAnsi="Arial" w:cs="Arial"/>
          <w:sz w:val="22"/>
          <w:szCs w:val="22"/>
        </w:rPr>
        <w:t xml:space="preserve">[PL 2007, c. 173, §7 (AMD).]</w:t>
      </w:r>
    </w:p>
    <w:p>
      <w:pPr>
        <w:jc w:val="both"/>
        <w:spacing w:before="100" w:after="100"/>
        <w:ind w:start="360"/>
        <w:ind w:firstLine="360"/>
      </w:pPr>
      <w:r>
        <w:rPr>
          <w:b/>
        </w:rPr>
        <w:t>1</w:t>
        <w:t xml:space="preserve">.  </w:t>
      </w:r>
      <w:r>
        <w:rPr>
          <w:b/>
        </w:rPr>
      </w:r>
      <w:r>
        <w:t xml:space="preserve"> </w:t>
      </w:r>
      <w:r>
        <w:t xml:space="preserve">Any person who the private person has probable cause to believe has committed or is committing:</w:t>
      </w:r>
    </w:p>
    <w:p>
      <w:pPr>
        <w:jc w:val="both"/>
        <w:spacing w:before="100" w:after="0"/>
        <w:ind w:start="720"/>
      </w:pPr>
      <w:r>
        <w:rPr/>
        <w:t>A</w:t>
        <w:t xml:space="preserve">.  </w:t>
      </w:r>
      <w:r>
        <w:rPr/>
      </w:r>
      <w:r>
        <w:t xml:space="preserve">Murder; or</w:t>
      </w:r>
      <w:r>
        <w:t xml:space="preserve">  </w:t>
      </w:r>
      <w:r xmlns:wp="http://schemas.openxmlformats.org/drawingml/2010/wordprocessingDrawing" xmlns:w15="http://schemas.microsoft.com/office/word/2012/wordml">
        <w:rPr>
          <w:rFonts w:ascii="Arial" w:hAnsi="Arial" w:cs="Arial"/>
          <w:sz w:val="22"/>
          <w:szCs w:val="22"/>
        </w:rPr>
        <w:t xml:space="preserve">[PL 1977, c. 510, §25 (RPR).]</w:t>
      </w:r>
    </w:p>
    <w:p>
      <w:pPr>
        <w:jc w:val="both"/>
        <w:spacing w:before="100" w:after="0"/>
        <w:ind w:start="720"/>
      </w:pPr>
      <w:r>
        <w:rPr/>
        <w:t>B</w:t>
        <w:t xml:space="preserve">.  </w:t>
      </w:r>
      <w:r>
        <w:rPr/>
      </w:r>
      <w:r>
        <w:t xml:space="preserve">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§7 (AMD).]</w:t>
      </w:r>
    </w:p>
    <w:p>
      <w:pPr>
        <w:jc w:val="both"/>
        <w:spacing w:before="100" w:after="100"/>
        <w:ind w:start="360"/>
        <w:ind w:firstLine="360"/>
      </w:pPr>
      <w:r>
        <w:rPr>
          <w:b/>
        </w:rPr>
        <w:t>2</w:t>
        <w:t xml:space="preserve">.  </w:t>
      </w:r>
      <w:r>
        <w:rPr>
          <w:b/>
        </w:rPr>
      </w:r>
      <w:r>
        <w:t xml:space="preserve"> </w:t>
      </w:r>
      <w:r>
        <w:t xml:space="preserve">Any person who, in fact, is committing in the private person's presence and in a public place any of the Class D or Class E crimes described in </w:t>
      </w:r>
      <w:r>
        <w:t>section 207</w:t>
      </w:r>
      <w:r>
        <w:t xml:space="preserve">; </w:t>
      </w:r>
      <w:r>
        <w:t>209</w:t>
      </w:r>
      <w:r>
        <w:t xml:space="preserve">; </w:t>
      </w:r>
      <w:r>
        <w:t>211</w:t>
      </w:r>
      <w:r>
        <w:t xml:space="preserve">; </w:t>
      </w:r>
      <w:r>
        <w:t>254</w:t>
      </w:r>
      <w:r>
        <w:t xml:space="preserve">; </w:t>
      </w:r>
      <w:r>
        <w:t>255‑A</w:t>
      </w:r>
      <w:r>
        <w:t xml:space="preserve">; </w:t>
      </w:r>
      <w:r>
        <w:t>501‑A, subsection 1, paragraph B</w:t>
      </w:r>
      <w:r>
        <w:t xml:space="preserve">; </w:t>
      </w:r>
      <w:r>
        <w:t>503</w:t>
      </w:r>
      <w:r>
        <w:t xml:space="preserve">; </w:t>
      </w:r>
      <w:r>
        <w:t>751</w:t>
      </w:r>
      <w:r>
        <w:t xml:space="preserve">; </w:t>
      </w:r>
      <w:r>
        <w:t>806</w:t>
      </w:r>
      <w:r>
        <w:t xml:space="preserve">; or </w:t>
      </w:r>
      <w:r>
        <w:t>1002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B, §11 (RP); PL 2007, c. 466, Pt. B,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§5 (AMD).]</w:t>
      </w:r>
    </w:p>
    <w:p>
      <w:pPr>
        <w:jc w:val="both"/>
        <w:spacing w:before="100" w:after="0"/>
        <w:ind w:start="360"/>
        <w:ind w:firstLine="360"/>
      </w:pPr>
      <w:r>
        <w:rPr>
          <w:b/>
        </w:rPr>
        <w:t>3</w:t>
        <w:t xml:space="preserve">.  </w:t>
      </w:r>
      <w:r>
        <w:rPr>
          <w:b/>
        </w:rPr>
      </w:r>
      <w:r>
        <w:t xml:space="preserve"> </w:t>
      </w:r>
      <w:r>
        <w:t xml:space="preserve">For the purposes of </w:t>
      </w:r>
      <w:r>
        <w:t>subsection 2</w:t>
      </w:r>
      <w:r>
        <w:t xml:space="preserve">, in the presence has the same meaning given in </w:t>
      </w:r>
      <w:r>
        <w:t>section 15,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510, §25 (AMD). PL 1979, c. 127, §125 (AMD). PL 2007, c. 144, §1 (AMD). PL 2007, c. 173, §7 (AMD). PL 2007, c. 466, Pt. B, §11 (AMD). PL 2007, c. 466, Pt. B, §12 (AFF). PL 2007, c. 518, §5 (AMD). </w:t>
      </w:r>
    </w:p>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jc w:val="both"/>
        <w:spacing w:before="100" w:after="100"/>
        <w:ind w:start="1080" w:hanging="720"/>
      </w:pPr>
      <w:r>
        <w:rPr>
          <w:b/>
        </w:rPr>
        <w:t>§</w:t>
        <w:t>18</w:t>
        <w:t xml:space="preserve">.  </w:t>
      </w:r>
      <w:r>
        <w:rPr>
          <w:b/>
        </w:rPr>
        <w:t xml:space="preserve">Homelessness crisis protocol</w:t>
      </w:r>
    </w:p>
    <w:p>
      <w:pPr>
        <w:jc w:val="both"/>
        <w:spacing w:before="100" w:after="100"/>
        <w:ind w:start="360"/>
        <w:ind w:firstLine="360"/>
      </w:pPr>
      <w:r>
        <w:rPr/>
      </w:r>
      <w:r>
        <w:rPr/>
      </w:r>
      <w:r>
        <w:t xml:space="preserve">A person who lacks a home who commits a listed offense because the person lacks a home must be treated in accordance with the homelessness crisis protocol adopted by the responding law enforcement agency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"Listed offense" means:</w:t>
      </w:r>
    </w:p>
    <w:p>
      <w:pPr>
        <w:jc w:val="both"/>
        <w:spacing w:before="100" w:after="0"/>
        <w:ind w:start="1080"/>
      </w:pPr>
      <w:r>
        <w:rPr/>
        <w:t>(</w:t>
        <w:t>1</w:t>
        <w:t xml:space="preserve">)  </w:t>
      </w:r>
      <w:r>
        <w:rPr/>
      </w:r>
      <w:r>
        <w:t xml:space="preserve">Criminal trespass in violation of </w:t>
      </w:r>
      <w:r>
        <w:t>section 402, subsection 1, paragraph C</w:t>
      </w:r>
      <w:r>
        <w:t xml:space="preserve"> or </w:t>
      </w:r>
      <w:r>
        <w:t>F</w:t>
      </w:r>
      <w:r>
        <w:t xml:space="preserve">;</w:t>
      </w:r>
    </w:p>
    <w:p>
      <w:pPr>
        <w:jc w:val="both"/>
        <w:spacing w:before="100" w:after="0"/>
        <w:ind w:start="1080"/>
      </w:pPr>
      <w:r>
        <w:rPr/>
        <w:t>(</w:t>
        <w:t>2</w:t>
        <w:t xml:space="preserve">)  </w:t>
      </w:r>
      <w:r>
        <w:rPr/>
      </w:r>
      <w:r>
        <w:t xml:space="preserve">Disorderly conduct in violation of </w:t>
      </w:r>
      <w:r>
        <w:t>section 501‑A, subsection 1, paragraph A</w:t>
      </w:r>
      <w:r>
        <w:t xml:space="preserve">;</w:t>
      </w:r>
    </w:p>
    <w:p>
      <w:pPr>
        <w:jc w:val="both"/>
        <w:spacing w:before="100" w:after="0"/>
        <w:ind w:start="1080"/>
      </w:pPr>
      <w:r>
        <w:rPr/>
        <w:t>(</w:t>
        <w:t>3</w:t>
        <w:t xml:space="preserve">)  </w:t>
      </w:r>
      <w:r>
        <w:rPr/>
      </w:r>
      <w:r>
        <w:t xml:space="preserve">Indecent conduct in violation of </w:t>
      </w:r>
      <w:r>
        <w:t>section 854</w:t>
      </w:r>
      <w:r>
        <w:t xml:space="preserve"> that is based on urinating in public;</w:t>
      </w:r>
    </w:p>
    <w:p>
      <w:pPr>
        <w:jc w:val="both"/>
        <w:spacing w:before="100" w:after="0"/>
        <w:ind w:start="1080"/>
      </w:pPr>
      <w:r>
        <w:rPr/>
        <w:t>(</w:t>
        <w:t>4</w:t>
        <w:t xml:space="preserve">)  </w:t>
      </w:r>
      <w:r>
        <w:rPr/>
      </w:r>
      <w:r>
        <w:t xml:space="preserve">Possession of a scheduled drug in violation of </w:t>
      </w:r>
      <w:r>
        <w:t>chapter 45</w:t>
      </w:r>
      <w:r>
        <w:t xml:space="preserve"> that is based on using the scheduled drug; or</w:t>
      </w:r>
    </w:p>
    <w:p>
      <w:pPr>
        <w:jc w:val="both"/>
        <w:spacing w:before="100" w:after="0"/>
        <w:ind w:start="1080"/>
      </w:pPr>
      <w:r>
        <w:rPr/>
        <w:t>(</w:t>
        <w:t>5</w:t>
        <w:t xml:space="preserve">)  </w:t>
      </w:r>
      <w:r>
        <w:rPr/>
      </w:r>
      <w:r>
        <w:t xml:space="preserve">Public drinking in violation of </w:t>
      </w:r>
      <w:r>
        <w:t>Title 17, section 2003‑A,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ind w:firstLine="360"/>
      </w:pPr>
      <w:r>
        <w:rPr>
          <w:b/>
        </w:rPr>
        <w:t>2</w:t>
        <w:t xml:space="preserve">.  </w:t>
      </w:r>
      <w:r>
        <w:rPr>
          <w:b/>
        </w:rPr>
        <w:t xml:space="preserve">Adoption of homelessness crisis protocol.</w:t>
        <w:t xml:space="preserve"> </w:t>
      </w:r>
      <w:r>
        <w:t xml:space="preserve"> </w:t>
      </w:r>
      <w:r>
        <w:t xml:space="preserve">This subsection governs the adoption of homelessness crisis protocols by the Attorney General and law enforcement agencies. A homelessness crisis protocol must include access and referral to crisis services, mental health and substance use disorder professionals, emergency and transitional housing and case management services.  </w:t>
      </w:r>
    </w:p>
    <w:p>
      <w:pPr>
        <w:jc w:val="both"/>
        <w:spacing w:before="100" w:after="0"/>
        <w:ind w:start="720"/>
      </w:pPr>
      <w:r>
        <w:rPr/>
        <w:t>A</w:t>
        <w:t xml:space="preserve">.  </w:t>
      </w:r>
      <w:r>
        <w:rPr/>
      </w:r>
      <w:r>
        <w:t xml:space="preserve">By January 1, 2022, the Attorney General shall adopt a model homelessness crisis protocol.</w:t>
      </w:r>
    </w:p>
    <w:p>
      <w:pPr>
        <w:jc w:val="both"/>
        <w:spacing w:before="100" w:after="0"/>
        <w:ind w:start="720"/>
      </w:pPr>
      <w:r>
        <w:rPr/>
      </w:r>
      <w:r>
        <w:rPr/>
      </w:r>
      <w:r>
        <w:t xml:space="preserve">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w:pPr>
        <w:jc w:val="both"/>
        <w:spacing w:before="100" w:after="0"/>
        <w:ind w:start="720"/>
      </w:pPr>
      <w:r>
        <w:rPr/>
        <w:t>B</w:t>
        <w:t xml:space="preserve">.  </w:t>
      </w:r>
      <w:r>
        <w:rPr/>
      </w:r>
      <w:r>
        <w:t xml:space="preserve">By March 1, 2022, all law enforcement agencies shall adopt homelessness crisis protocols.  The protocol of a law enforcement agency may, but is not required to, conform to the protocol adopted by the Attorney General.  </w:t>
      </w:r>
      <w:r>
        <w:t xml:space="preserve">  </w:t>
      </w:r>
      <w:r xmlns:wp="http://schemas.openxmlformats.org/drawingml/2010/wordprocessingDrawing" xmlns:w15="http://schemas.microsoft.com/office/word/2012/wordml">
        <w:rPr>
          <w:rFonts w:ascii="Arial" w:hAnsi="Arial" w:cs="Arial"/>
          <w:sz w:val="22"/>
          <w:szCs w:val="22"/>
        </w:rPr>
        <w:t xml:space="preserve">[PL 2021,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0"/>
        <w:ind w:start="360"/>
        <w:ind w:firstLine="360"/>
      </w:pPr>
      <w:r>
        <w:rPr>
          <w:b/>
        </w:rPr>
        <w:t>3</w:t>
        <w:t xml:space="preserve">.  </w:t>
      </w:r>
      <w:r>
        <w:rPr>
          <w:b/>
        </w:rPr>
        <w:t xml:space="preserve">Law enforcement response to a listed offense by a person who lacks a home.</w:t>
        <w:t xml:space="preserve"> </w:t>
      </w:r>
      <w:r>
        <w:t xml:space="preserve"> </w:t>
      </w:r>
      <w:r>
        <w:t xml:space="preserve">A law enforcement officer who responds to a call regarding or encounters a person who is committing or has committed a listed offense shall inquire whether the person has a home or lacks a home.  If the person lacks a home, the law enforcement officer shall respond to the person using the homelessness crisis protocol adopted by the officer's law enforcement agency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w:t>
      </w:r>
    </w:p>
    <w:p>
      <w:pPr>
        <w:jc w:val="both"/>
        <w:spacing w:before="100" w:after="100"/>
        <w:ind w:start="360"/>
      </w:pPr>
      <w:r>
        <w:rPr>
          <w:b w:val="true"/>
          <w:i/>
          <w:caps w:val="true"/>
        </w:rPr>
        <w:t xml:space="preserve">Revisor's Note: </w:t>
      </w:r>
      <w:r>
        <w:t>§18. Crimes involving minors (As enacted by PL 2021, c. 447, §1 is REALLOCATED TO TITLE 17-A, SECTION 19)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393, §1 (NEW). </w:t>
      </w:r>
    </w:p>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PRELIMINARY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PRELIMINARY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 PRELIMINARY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