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w:pPr>
        <w:jc w:val="both"/>
        <w:spacing w:before="100" w:after="0"/>
        <w:ind w:start="360"/>
        <w:ind w:firstLine="360"/>
      </w:pPr>
      <w:r>
        <w:rPr>
          <w:b/>
        </w:rPr>
        <w:t>3</w:t>
        <w:t xml:space="preserve">.  </w:t>
      </w:r>
      <w:r>
        <w:rPr>
          <w:b/>
        </w:rPr>
      </w:r>
      <w:r>
        <w:t xml:space="preserve"> </w:t>
      </w:r>
      <w:r>
        <w:t xml:space="preserve">Except as provided in </w:t>
      </w:r>
      <w:r>
        <w:t>subsections 1</w:t>
      </w:r>
      <w:r>
        <w:t xml:space="preserve"> and </w:t>
      </w:r>
      <w:r>
        <w:t>2</w:t>
      </w:r>
      <w:r>
        <w:t xml:space="preserve">, when concurrent jurisdiction has been established pursuant to </w:t>
      </w:r>
      <w:r>
        <w:t>Title 15, section 3101, subsection 2, paragraph F</w:t>
      </w:r>
      <w:r>
        <w:t xml:space="preserve">, the Juvenile Court has exclusive original jurisdiction over a case involving a juvenile who is alleged to have committed a juvenile crime as defined in </w:t>
      </w:r>
      <w:r>
        <w:t>Title 15, section 3103,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PL 2023, c. 605,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§10-A. JURISDICTION OVER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