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Use of force in property offenses</w:t>
      </w:r>
    </w:p>
    <w:p>
      <w:pPr>
        <w:jc w:val="both"/>
        <w:spacing w:before="100" w:after="100"/>
        <w:ind w:start="360"/>
        <w:ind w:firstLine="360"/>
      </w:pPr>
      <w:r>
        <w:rPr/>
      </w:r>
      <w:r>
        <w:rPr/>
      </w:r>
      <w:r>
        <w:t xml:space="preserve">A person is justified in using a reasonable degree of nondeadly force upon another person when and to the extent that the person reasonably believes it necessary to prevent what is or reasonably appears to be an unlawful taking of the person's property, or criminal mischief, or to retake the person's property immediately following its taking; but the person may use deadly force only under such circumstances as are prescribed in </w:t>
      </w:r>
      <w:r>
        <w:t>sections 104</w:t>
      </w:r>
      <w:r>
        <w:t xml:space="preserve">, </w:t>
      </w:r>
      <w:r>
        <w:t>107</w:t>
      </w:r>
      <w:r>
        <w:t xml:space="preserve"> and </w:t>
      </w:r>
      <w:r>
        <w:t>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173,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§27 (AMD). PL 2007, c. 173,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 Use of force in property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Use of force in property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§105. USE OF FORCE IN PROPERTY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