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Separate trials</w:t>
      </w:r>
    </w:p>
    <w:p>
      <w:pPr>
        <w:jc w:val="both"/>
        <w:spacing w:before="100" w:after="100"/>
        <w:ind w:start="360"/>
        <w:ind w:firstLine="360"/>
      </w:pPr>
      <w:r>
        <w:rPr/>
      </w:r>
      <w:r>
        <w:rPr/>
      </w:r>
      <w:r>
        <w:t xml:space="preserve">A defendant shall not be subject to separate trials for multiple offenses based on the same conduct or arising from the same criminal episode, if such offenses were known to the appropriate prosecuting officer at the time of the commencement of the first trial and were within the jurisdiction of the same court and within the same venue, unless the court, on application of the prosecuting attorney or of the defendant or on its own motion, orders any such charge to be tried separately if it is satisfied that justice so requires.</w:t>
      </w:r>
      <w:r>
        <w:t xml:space="preserve">  </w:t>
      </w:r>
      <w:r xmlns:wp="http://schemas.openxmlformats.org/drawingml/2010/wordprocessingDrawing" xmlns:w15="http://schemas.microsoft.com/office/word/2012/wordml">
        <w:rPr>
          <w:rFonts w:ascii="Arial" w:hAnsi="Arial" w:cs="Arial"/>
          <w:sz w:val="22"/>
          <w:szCs w:val="22"/>
        </w:rPr>
        <w:t xml:space="preserve">[PL 1975, c. 740,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 Separate trials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Separate trials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§14. SEPARATE TRIALS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