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Imprisonment for crime of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Imprisonment for crime of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§1603. IMPRISONMENT FOR CRIME OF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