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Use of fine relative to individuals</w:t>
      </w:r>
    </w:p>
    <w:p>
      <w:pPr>
        <w:jc w:val="both"/>
        <w:spacing w:before="100" w:after="100"/>
        <w:ind w:start="360"/>
        <w:ind w:firstLine="360"/>
      </w:pPr>
      <w:r>
        <w:rPr/>
      </w:r>
      <w:r>
        <w:rPr/>
      </w:r>
      <w:r>
        <w:t xml:space="preserve">Except when specifically precluded, in choosing the appropriate punishment for an individual convicted of a crime, the court shall consider the desirability of imposing a sentencing alternative involving a fine either in conjunction with or in lieu of a sentencing alternative involving imprisonment.  A sentencing alternative involving imprisonment may not be imposed by a court solely for the reason that the individual does not have the present or future financial capacity to pay a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 Use of fine relative to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Use of fine relative to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§1703. USE OF FINE RELATIVE TO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