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§356-A. Theft of lost, mislaid or mistakenly delivered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§356-A. Theft of lost, mislaid or mistakenly delivered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§356-A. THEFT OF LOST, MISLAID OR MISTAKENLY DELIVERED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