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§404. TRESPASS BY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