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752-C</w:t>
        <w:t xml:space="preserve">.  </w:t>
      </w:r>
      <w:r>
        <w:rPr>
          <w:b/>
        </w:rPr>
        <w:t xml:space="preserve">Assault on an emergency medical services person</w:t>
      </w:r>
    </w:p>
    <w:p>
      <w:pPr>
        <w:jc w:val="both"/>
        <w:spacing w:before="100" w:after="0"/>
        <w:ind w:start="360"/>
        <w:ind w:firstLine="360"/>
      </w:pPr>
      <w:r>
        <w:rPr>
          <w:b/>
        </w:rPr>
        <w:t>1</w:t>
        <w:t xml:space="preserve">.  </w:t>
      </w:r>
      <w:r>
        <w:rPr>
          <w:b/>
        </w:rPr>
      </w:r>
      <w:r>
        <w:t xml:space="preserve"> </w:t>
      </w:r>
      <w:r>
        <w:t xml:space="preserve">A person is guilty of assault on an emergency medical services person if that person intentionally, knowingly or recklessly causes bodily injury to a person licensed pursuant to </w:t>
      </w:r>
      <w:r>
        <w:t>Title 32, chapter 2‑B</w:t>
      </w:r>
      <w:r>
        <w:t xml:space="preserve"> while that licensee is providing emergency medical care regardless of the location where the emergency medical care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(RP).]</w:t>
      </w:r>
    </w:p>
    <w:p>
      <w:pPr>
        <w:jc w:val="both"/>
        <w:spacing w:before="100" w:after="0"/>
        <w:ind w:start="360"/>
        <w:ind w:firstLine="360"/>
      </w:pPr>
      <w:r>
        <w:rPr>
          <w:b/>
        </w:rPr>
        <w:t>3</w:t>
        <w:t xml:space="preserve">.  </w:t>
      </w:r>
      <w:r>
        <w:rPr>
          <w:b/>
        </w:rPr>
      </w:r>
      <w:r>
        <w:t xml:space="preserve"> </w:t>
      </w:r>
      <w:r>
        <w:t xml:space="preserve">Assault on an emergency medical services person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470, §1 (NEW). PL 2015, c. 471, §1 (AMD). PL 2023, c. 455,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§752-C. Assault on an emergency medical services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§752-C. Assault on an emergency medical services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§752-C. ASSAULT ON AN EMERGENCY MEDICAL SERVICES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