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§754. OBSTRUCTING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