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67</w:t>
      </w:r>
    </w:p>
    <w:p>
      <w:pPr>
        <w:jc w:val="center"/>
        <w:ind w:start="360"/>
        <w:spacing w:before="300" w:after="300"/>
      </w:pPr>
      <w:r>
        <w:rPr>
          <w:b/>
        </w:rPr>
        <w:t xml:space="preserve">INDECENT LIBERTIES</w:t>
      </w:r>
    </w:p>
    <w:p>
      <w:pPr>
        <w:jc w:val="both"/>
        <w:spacing w:before="100" w:after="100"/>
        <w:ind w:start="1080" w:hanging="720"/>
      </w:pPr>
      <w:r>
        <w:rPr>
          <w:b/>
        </w:rPr>
        <w:t>§</w:t>
        <w:t>1951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§21 (AMD). PL 1975, c. 499, §10 (RP). </w:t>
      </w:r>
    </w:p>
    <w:p>
      <w:pPr>
        <w:jc w:val="both"/>
        <w:spacing w:before="100" w:after="100"/>
        <w:ind w:start="1080" w:hanging="720"/>
      </w:pPr>
      <w:r>
        <w:rPr>
          <w:b/>
        </w:rPr>
        <w:t>§</w:t>
        <w:t>1952</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§11 (NEW). PL 1975, c. 740,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67. INDECENT LIBERTIES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67. INDECENT LIBERTIES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67. INDECENT LIBERTIES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