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Dangerous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Dangerous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§2851. DANGEROUS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