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Registration</w:t>
      </w:r>
    </w:p>
    <w:p>
      <w:pPr>
        <w:jc w:val="both"/>
        <w:spacing w:before="100" w:after="100"/>
        <w:ind w:start="360"/>
        <w:ind w:firstLine="360"/>
      </w:pPr>
      <w:r>
        <w:rPr/>
      </w:r>
      <w:r>
        <w:rPr/>
      </w:r>
      <w:r>
        <w:t xml:space="preserve">Except for high-stakes beano under </w:t>
      </w:r>
      <w:r>
        <w:t>section 314‑A</w:t>
      </w:r>
      <w:r>
        <w:t xml:space="preserve">, and except as provided in </w:t>
      </w:r>
      <w:r>
        <w:t>section 313‑D</w:t>
      </w:r>
      <w:r>
        <w:t xml:space="preserve">, a person or organization that wishes to conduct beano shall register with the Gambling Control Unit pursuant to the provisions set forth in this section.  The registration must be as determined by the director.  A registration must be signed by the person or a duly authorized officer of the organization to be registered, must contain the full name and address of the person or organization and the location where it will conduct beano and must bear the consent of the municipal officers of the town or city in which it is proposed to operate beano.</w:t>
      </w:r>
      <w:r>
        <w:t xml:space="preserve">  </w:t>
      </w:r>
      <w:r xmlns:wp="http://schemas.openxmlformats.org/drawingml/2010/wordprocessingDrawing" xmlns:w15="http://schemas.microsoft.com/office/word/2012/wordml">
        <w:rPr>
          <w:rFonts w:ascii="Arial" w:hAnsi="Arial" w:cs="Arial"/>
          <w:sz w:val="22"/>
          <w:szCs w:val="22"/>
        </w:rPr>
        <w:t xml:space="preserve">[PL 2017, c. 284, Pt. JJJJJ,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2017, c. 284, Pt. JJJJJ,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§313.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