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§314-A. HIGH-STAKES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