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No duty to monitor, inform or advise</w:t>
      </w:r>
    </w:p>
    <w:p>
      <w:pPr>
        <w:jc w:val="both"/>
        <w:spacing w:before="100" w:after="100"/>
        <w:ind w:start="360"/>
        <w:ind w:firstLine="360"/>
      </w:pPr>
      <w:r>
        <w:rPr>
          <w:b/>
        </w:rPr>
        <w:t>1</w:t>
        <w:t xml:space="preserve">.  </w:t>
      </w:r>
      <w:r>
        <w:rPr>
          <w:b/>
        </w:rPr>
        <w:t xml:space="preserve">Trustee.</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trustee does not have a duty to:</w:t>
      </w:r>
    </w:p>
    <w:p>
      <w:pPr>
        <w:jc w:val="both"/>
        <w:spacing w:before="100" w:after="0"/>
        <w:ind w:start="1080"/>
      </w:pPr>
      <w:r>
        <w:rPr/>
        <w:t>(</w:t>
        <w:t>1</w:t>
        <w:t xml:space="preserve">)  </w:t>
      </w:r>
      <w:r>
        <w:rPr/>
      </w:r>
      <w:r>
        <w:t xml:space="preserve">Monitor a trust director; or</w:t>
      </w:r>
    </w:p>
    <w:p>
      <w:pPr>
        <w:jc w:val="both"/>
        <w:spacing w:before="100" w:after="0"/>
        <w:ind w:start="1080"/>
      </w:pPr>
      <w:r>
        <w:rPr/>
        <w:t>(</w:t>
        <w:t>2</w:t>
        <w:t xml:space="preserve">)  </w:t>
      </w:r>
      <w:r>
        <w:rPr/>
      </w:r>
      <w:r>
        <w:t xml:space="preserve">Inform or give advice to a settlor, beneficiary, trustee or trust director concerning an instance in which the trustee might have acted differently than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trustee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does not have a duty to:</w:t>
      </w:r>
    </w:p>
    <w:p>
      <w:pPr>
        <w:jc w:val="both"/>
        <w:spacing w:before="100" w:after="0"/>
        <w:ind w:start="1080"/>
      </w:pPr>
      <w:r>
        <w:rPr/>
        <w:t>(</w:t>
        <w:t>1</w:t>
        <w:t xml:space="preserve">)  </w:t>
      </w:r>
      <w:r>
        <w:rPr/>
      </w:r>
      <w:r>
        <w:t xml:space="preserve">Monitor a trustee or another trust director; or</w:t>
      </w:r>
    </w:p>
    <w:p>
      <w:pPr>
        <w:jc w:val="both"/>
        <w:spacing w:before="100" w:after="0"/>
        <w:ind w:start="1080"/>
      </w:pPr>
      <w:r>
        <w:rPr/>
        <w:t>(</w:t>
        <w:t>2</w:t>
        <w:t xml:space="preserve">)  </w:t>
      </w:r>
      <w:r>
        <w:rPr/>
      </w:r>
      <w:r>
        <w:t xml:space="preserve">Inform or give advice to a settlor, beneficiary, trustee or another trust director concerning an instance in which the director might have acted differently than a trustee or another trust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 director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§2111. No duty to monitor, inform or advise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No duty to monitor, inform or advise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§2111. NO DUTY TO MONITOR, INFORM OR ADVISE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