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2-806</w:t>
        <w:t xml:space="preserve">.  </w:t>
      </w:r>
      <w:r>
        <w:rPr>
          <w:b/>
        </w:rPr>
        <w:t xml:space="preserve">Modification to achieve transferor's tax objectives</w:t>
      </w:r>
    </w:p>
    <w:p>
      <w:pPr>
        <w:jc w:val="both"/>
        <w:spacing w:before="100" w:after="100"/>
        <w:ind w:start="360"/>
        <w:ind w:firstLine="360"/>
      </w:pPr>
      <w:r>
        <w:rPr/>
      </w:r>
      <w:r>
        <w:rPr/>
      </w:r>
      <w:r>
        <w:t xml:space="preserve">To achieve the transferor's tax objectives, the court may modify the terms of a governing instrument in a manner that is not contrary to the transferor's probable intention.  The court may provide that the modification has retroactive effect.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§2-806. Modification to achieve transferor's tax objectives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§2-806. Modification to achieve transferor's tax objectives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§2-806. MODIFICATION TO ACHIEVE TRANSFEROR'S TAX OBJECTIVES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