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5-709</w:t>
        <w:t xml:space="preserve">.  </w:t>
      </w:r>
      <w:r>
        <w:rPr>
          <w:b/>
        </w:rPr>
        <w:t xml:space="preserve">No change in powers and duties of agency heads and trustees</w:t>
      </w:r>
    </w:p>
    <w:p>
      <w:pPr>
        <w:jc w:val="both"/>
        <w:spacing w:before="100" w:after="100"/>
        <w:ind w:start="360"/>
        <w:ind w:firstLine="360"/>
      </w:pPr>
      <w:r>
        <w:rPr/>
      </w:r>
      <w:r>
        <w:rPr/>
      </w:r>
      <w:r>
        <w:t xml:space="preserve">Nothing in this Article abrogates any other powers or duties vested by law in the head of any public institution, or vested by the settlor of a trust in the trustee thereof, for the benefit of any individual subject to guardianship or protected person for whom the public guardian or conservator is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§5-709. No change in powers and duties of agency heads and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§5-709. No change in powers and duties of agency heads and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§5-709. NO CHANGE IN POWERS AND DUTIES OF AGENCY HEADS AND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