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6-408</w:t>
        <w:t xml:space="preserve">.  </w:t>
      </w:r>
      <w:r>
        <w:rPr>
          <w:b/>
        </w:rPr>
        <w:t xml:space="preserve">Capacity of transferor; undue influence of transferor</w:t>
      </w:r>
    </w:p>
    <w:p>
      <w:pPr>
        <w:jc w:val="both"/>
        <w:spacing w:before="100" w:after="0"/>
        <w:ind w:start="360"/>
        <w:ind w:firstLine="360"/>
      </w:pPr>
      <w:r>
        <w:rPr>
          <w:b/>
        </w:rPr>
        <w:t>1</w:t>
        <w:t xml:space="preserve">.  </w:t>
      </w:r>
      <w:r>
        <w:rPr>
          <w:b/>
        </w:rPr>
        <w:t xml:space="preserve">Capacity.</w:t>
        <w:t xml:space="preserve"> </w:t>
      </w:r>
      <w:r>
        <w:t xml:space="preserve"> </w:t>
      </w:r>
      <w:r>
        <w:t xml:space="preserve">The capacity required to make or revoke a transfer on death deed is the same as the capacity required to make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Undue influence.</w:t>
        <w:t xml:space="preserve"> </w:t>
      </w:r>
      <w:r>
        <w:t xml:space="preserve"> </w:t>
      </w:r>
      <w:r>
        <w:t xml:space="preserve">In addition to any other criminal or civil causes of action or relief at law or equity, </w:t>
      </w:r>
      <w:r>
        <w:t>Title 33, chapter 20</w:t>
      </w:r>
      <w:r>
        <w:t xml:space="preserve"> applies to transfers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§6-408. Capacity of transferor; undue influence of transferor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§6-408. Capacity of transferor; undue influence of transferor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§6-408. CAPACITY OF TRANSFEROR; UNDUE INFLUENCE OF TRANSFEROR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